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80B" w:rsidRDefault="002A380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A380B" w:rsidRDefault="002A380B">
      <w:pPr>
        <w:pStyle w:val="ConsPlusNormal"/>
        <w:jc w:val="both"/>
        <w:outlineLvl w:val="0"/>
      </w:pPr>
    </w:p>
    <w:p w:rsidR="002A380B" w:rsidRDefault="002A380B">
      <w:pPr>
        <w:pStyle w:val="ConsPlusTitle"/>
        <w:jc w:val="center"/>
      </w:pPr>
      <w:r>
        <w:t>ПРАВИТЕЛЬСТВО УЛЬЯНОВСКОЙ ОБЛАСТИ</w:t>
      </w:r>
    </w:p>
    <w:p w:rsidR="002A380B" w:rsidRDefault="002A380B">
      <w:pPr>
        <w:pStyle w:val="ConsPlusTitle"/>
        <w:jc w:val="center"/>
      </w:pPr>
    </w:p>
    <w:p w:rsidR="002A380B" w:rsidRDefault="002A380B">
      <w:pPr>
        <w:pStyle w:val="ConsPlusTitle"/>
        <w:jc w:val="center"/>
      </w:pPr>
      <w:r>
        <w:t>ПОСТАНОВЛЕНИЕ</w:t>
      </w:r>
    </w:p>
    <w:p w:rsidR="002A380B" w:rsidRDefault="002A380B">
      <w:pPr>
        <w:pStyle w:val="ConsPlusTitle"/>
        <w:jc w:val="center"/>
      </w:pPr>
      <w:r>
        <w:t>от 26 декабря 2023 г. N 737-П</w:t>
      </w:r>
    </w:p>
    <w:p w:rsidR="002A380B" w:rsidRDefault="002A380B">
      <w:pPr>
        <w:pStyle w:val="ConsPlusTitle"/>
        <w:jc w:val="center"/>
      </w:pPr>
    </w:p>
    <w:p w:rsidR="002A380B" w:rsidRDefault="002A380B">
      <w:pPr>
        <w:pStyle w:val="ConsPlusTitle"/>
        <w:jc w:val="center"/>
      </w:pPr>
      <w:r>
        <w:t>О ВНЕСЕНИИ ИЗМЕНЕНИЙ В ПОСТАНОВЛЕНИЕ ПРАВИТЕЛЬСТВА</w:t>
      </w:r>
    </w:p>
    <w:p w:rsidR="002A380B" w:rsidRDefault="002A380B">
      <w:pPr>
        <w:pStyle w:val="ConsPlusTitle"/>
        <w:jc w:val="center"/>
      </w:pPr>
      <w:r>
        <w:t>УЛЬЯНОВСКОЙ ОБЛАСТИ ОТ 29.09.2021 N 448-П</w:t>
      </w:r>
    </w:p>
    <w:p w:rsidR="002A380B" w:rsidRDefault="002A380B">
      <w:pPr>
        <w:pStyle w:val="ConsPlusNormal"/>
        <w:jc w:val="both"/>
      </w:pPr>
    </w:p>
    <w:p w:rsidR="002A380B" w:rsidRDefault="002A380B">
      <w:pPr>
        <w:pStyle w:val="ConsPlusNormal"/>
        <w:ind w:firstLine="540"/>
        <w:jc w:val="both"/>
      </w:pPr>
      <w:r>
        <w:t>Правительство Ульяновской области постановляет: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6">
        <w:r>
          <w:rPr>
            <w:color w:val="0000FF"/>
          </w:rPr>
          <w:t>Положение</w:t>
        </w:r>
      </w:hyperlink>
      <w:r>
        <w:t xml:space="preserve"> о региональном государственном контроле (надзоре) за приемом на работу инвалидов в пределах установленной квоты, утвержденное постановлением Правительства Ульяновской области от 29.09.2021 N 448-П "Об утверждении Положения о региональном государственном контроле (надзоре) за приемом на работу инвалидов в пределах установленной квоты", следующие изменения:</w:t>
      </w:r>
      <w:proofErr w:type="gramEnd"/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1) в </w:t>
      </w:r>
      <w:hyperlink r:id="rId7">
        <w:r>
          <w:rPr>
            <w:color w:val="0000FF"/>
          </w:rPr>
          <w:t>пункте 2.2 раздела 2</w:t>
        </w:r>
      </w:hyperlink>
      <w:r>
        <w:t>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а) </w:t>
      </w:r>
      <w:hyperlink r:id="rId8">
        <w:r>
          <w:rPr>
            <w:color w:val="0000FF"/>
          </w:rPr>
          <w:t>дополнить</w:t>
        </w:r>
      </w:hyperlink>
      <w:r>
        <w:t xml:space="preserve"> новым подпунктом 1 следующего содержания: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"1) высокий риск</w:t>
      </w:r>
      <w:proofErr w:type="gramStart"/>
      <w:r>
        <w:t>;"</w:t>
      </w:r>
      <w:proofErr w:type="gramEnd"/>
      <w:r>
        <w:t>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б) </w:t>
      </w:r>
      <w:hyperlink r:id="rId9">
        <w:r>
          <w:rPr>
            <w:color w:val="0000FF"/>
          </w:rPr>
          <w:t>подпункты 1</w:t>
        </w:r>
      </w:hyperlink>
      <w:r>
        <w:t xml:space="preserve"> - </w:t>
      </w:r>
      <w:hyperlink r:id="rId10">
        <w:r>
          <w:rPr>
            <w:color w:val="0000FF"/>
          </w:rPr>
          <w:t>3</w:t>
        </w:r>
      </w:hyperlink>
      <w:r>
        <w:t xml:space="preserve"> считать соответственно подпунктами 2 - 4;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2) в </w:t>
      </w:r>
      <w:hyperlink r:id="rId11">
        <w:r>
          <w:rPr>
            <w:color w:val="0000FF"/>
          </w:rPr>
          <w:t>разделе 3</w:t>
        </w:r>
      </w:hyperlink>
      <w:r>
        <w:t>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а) </w:t>
      </w:r>
      <w:hyperlink r:id="rId12">
        <w:r>
          <w:rPr>
            <w:color w:val="0000FF"/>
          </w:rPr>
          <w:t>дополнить</w:t>
        </w:r>
      </w:hyperlink>
      <w:r>
        <w:t xml:space="preserve"> новым пунктом 1 следующего содержания: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"1) в отношении объектов контроля, отнесенных к категории высокого риска, одно из следующих плановых контрольных (надзорных) мероприятий: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документарная проверка - один раз в 3 года;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выездная проверка - один раз в 3 года</w:t>
      </w:r>
      <w:proofErr w:type="gramStart"/>
      <w:r>
        <w:t>;"</w:t>
      </w:r>
      <w:proofErr w:type="gramEnd"/>
      <w:r>
        <w:t>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б) </w:t>
      </w:r>
      <w:hyperlink r:id="rId13">
        <w:r>
          <w:rPr>
            <w:color w:val="0000FF"/>
          </w:rPr>
          <w:t>пункты 1</w:t>
        </w:r>
      </w:hyperlink>
      <w:r>
        <w:t xml:space="preserve"> и </w:t>
      </w:r>
      <w:hyperlink r:id="rId14">
        <w:r>
          <w:rPr>
            <w:color w:val="0000FF"/>
          </w:rPr>
          <w:t>2</w:t>
        </w:r>
      </w:hyperlink>
      <w:r>
        <w:t xml:space="preserve"> считать соответственно пунктами 2 и 3;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3) в </w:t>
      </w:r>
      <w:hyperlink r:id="rId15">
        <w:r>
          <w:rPr>
            <w:color w:val="0000FF"/>
          </w:rPr>
          <w:t>пункте 4.7 раздела 4</w:t>
        </w:r>
      </w:hyperlink>
      <w:r>
        <w:t>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а) </w:t>
      </w:r>
      <w:hyperlink r:id="rId16">
        <w:r>
          <w:rPr>
            <w:color w:val="0000FF"/>
          </w:rPr>
          <w:t>абзац четвертый</w:t>
        </w:r>
      </w:hyperlink>
      <w:r>
        <w:t xml:space="preserve"> дополнить словами ", а также в отношении объектов контроля, отнесенных к категории высокого риска";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б) </w:t>
      </w:r>
      <w:hyperlink r:id="rId17">
        <w:r>
          <w:rPr>
            <w:color w:val="0000FF"/>
          </w:rPr>
          <w:t>дополнить</w:t>
        </w:r>
      </w:hyperlink>
      <w:r>
        <w:t xml:space="preserve"> абзацем восьмым следующего содержания: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"Контролируемое лицо вправе обратиться в орган контроля с просьбой о проведении профилактического визита. В случае</w:t>
      </w:r>
      <w:proofErr w:type="gramStart"/>
      <w:r>
        <w:t>,</w:t>
      </w:r>
      <w:proofErr w:type="gramEnd"/>
      <w:r>
        <w:t xml:space="preserve"> если такое обращение поступило не позднее чем за 2 месяца до даты начала проведения планового контрольного (надзорного) мероприятия, орган контроля обеспечивает включение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</w:t>
      </w:r>
      <w:proofErr w:type="gramStart"/>
      <w:r>
        <w:t>позднее</w:t>
      </w:r>
      <w:proofErr w:type="gramEnd"/>
      <w:r>
        <w:t xml:space="preserve">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</w:t>
      </w:r>
      <w:proofErr w:type="gramStart"/>
      <w:r>
        <w:t>,</w:t>
      </w:r>
      <w:proofErr w:type="gramEnd"/>
      <w:r>
        <w:t xml:space="preserve"> если профилактический визит проведен в течение 3 месяцев до даты проведения планового контрольного (надзорного) мероприятия, орган контроля вправе принять решение об </w:t>
      </w:r>
      <w:r>
        <w:lastRenderedPageBreak/>
        <w:t>исключении планового контрольного (надзорного) мероприятия из плана плановых контрольных (надзорных) мероприятий.";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4) в </w:t>
      </w:r>
      <w:hyperlink r:id="rId18">
        <w:r>
          <w:rPr>
            <w:color w:val="0000FF"/>
          </w:rPr>
          <w:t>разделе 5</w:t>
        </w:r>
      </w:hyperlink>
      <w:r>
        <w:t>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а) </w:t>
      </w:r>
      <w:hyperlink r:id="rId19">
        <w:r>
          <w:rPr>
            <w:color w:val="0000FF"/>
          </w:rPr>
          <w:t>дополнить</w:t>
        </w:r>
      </w:hyperlink>
      <w:r>
        <w:t xml:space="preserve"> новыми пунктами 5.2 и 5.3 следующего содержания: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"5.2. Документарная проверка проводится при наличии оснований, указанных в пунктах 1 - 5 части 1 статьи 57 Закона о контроле (надзоре).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5.3. Выездная проверка проводится при наличии оснований, указанных в пунктах 1 - 5 части 1 статьи 57 Закона о контроле (надзоре), и в случае, если не представляется возможным:</w:t>
      </w:r>
    </w:p>
    <w:p w:rsidR="002A380B" w:rsidRDefault="002A380B">
      <w:pPr>
        <w:pStyle w:val="ConsPlusNormal"/>
        <w:spacing w:before="220"/>
        <w:ind w:firstLine="540"/>
        <w:jc w:val="both"/>
      </w:pPr>
      <w:proofErr w:type="gramStart"/>
      <w:r>
        <w:t>1) удостовериться в полноте и достоверности сведений, которые содержатся в находящихся в распоряжении органа контроля или в запрашиваемых им документах и объяснениях контролируемого лица;</w:t>
      </w:r>
      <w:proofErr w:type="gramEnd"/>
    </w:p>
    <w:p w:rsidR="002A380B" w:rsidRDefault="002A380B">
      <w:pPr>
        <w:pStyle w:val="ConsPlusNormal"/>
        <w:spacing w:before="220"/>
        <w:ind w:firstLine="540"/>
        <w:jc w:val="both"/>
      </w:pPr>
      <w:r>
        <w:t>2) оценить соответствие деятельности, действий (бездействия) контролируемого лица обязательным требованиям без выезда на место нахождения (осуществление деятельности) контролируемого лица</w:t>
      </w:r>
      <w:proofErr w:type="gramStart"/>
      <w:r>
        <w:t>.";</w:t>
      </w:r>
      <w:proofErr w:type="gramEnd"/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б) </w:t>
      </w:r>
      <w:hyperlink r:id="rId20">
        <w:r>
          <w:rPr>
            <w:color w:val="0000FF"/>
          </w:rPr>
          <w:t>пункты 5.2</w:t>
        </w:r>
      </w:hyperlink>
      <w:r>
        <w:t xml:space="preserve"> - </w:t>
      </w:r>
      <w:hyperlink r:id="rId21">
        <w:r>
          <w:rPr>
            <w:color w:val="0000FF"/>
          </w:rPr>
          <w:t>5.9</w:t>
        </w:r>
      </w:hyperlink>
      <w:r>
        <w:t xml:space="preserve"> считать соответственно пунктами 5.4 - 5.11;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5) в </w:t>
      </w:r>
      <w:hyperlink r:id="rId22">
        <w:r>
          <w:rPr>
            <w:color w:val="0000FF"/>
          </w:rPr>
          <w:t>пункте 3</w:t>
        </w:r>
      </w:hyperlink>
      <w:r>
        <w:t xml:space="preserve"> приложения N 1: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а) </w:t>
      </w:r>
      <w:hyperlink r:id="rId23">
        <w:r>
          <w:rPr>
            <w:color w:val="0000FF"/>
          </w:rPr>
          <w:t>дополнить</w:t>
        </w:r>
      </w:hyperlink>
      <w:r>
        <w:t xml:space="preserve"> новым подпунктом 1 следующего содержания: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"1) к категории высокого риска, если значение показателя потенциального риска составляет 7 или более</w:t>
      </w:r>
      <w:proofErr w:type="gramStart"/>
      <w:r>
        <w:t>;"</w:t>
      </w:r>
      <w:proofErr w:type="gramEnd"/>
      <w:r>
        <w:t>;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 xml:space="preserve">б) </w:t>
      </w:r>
      <w:hyperlink r:id="rId24">
        <w:r>
          <w:rPr>
            <w:color w:val="0000FF"/>
          </w:rPr>
          <w:t>подпункты 1</w:t>
        </w:r>
      </w:hyperlink>
      <w:r>
        <w:t xml:space="preserve"> и </w:t>
      </w:r>
      <w:hyperlink r:id="rId25">
        <w:r>
          <w:rPr>
            <w:color w:val="0000FF"/>
          </w:rPr>
          <w:t>2</w:t>
        </w:r>
      </w:hyperlink>
      <w:r>
        <w:t xml:space="preserve"> считать соответственно подпунктами 2 и 3.</w:t>
      </w:r>
    </w:p>
    <w:p w:rsidR="002A380B" w:rsidRDefault="002A380B">
      <w:pPr>
        <w:pStyle w:val="ConsPlusNormal"/>
        <w:spacing w:before="220"/>
        <w:ind w:firstLine="540"/>
        <w:jc w:val="both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2A380B" w:rsidRDefault="002A380B">
      <w:pPr>
        <w:pStyle w:val="ConsPlusNormal"/>
        <w:jc w:val="both"/>
      </w:pPr>
    </w:p>
    <w:p w:rsidR="002A380B" w:rsidRDefault="002A380B">
      <w:pPr>
        <w:pStyle w:val="ConsPlusNormal"/>
        <w:jc w:val="right"/>
      </w:pPr>
      <w:r>
        <w:t>Председатель</w:t>
      </w:r>
    </w:p>
    <w:p w:rsidR="002A380B" w:rsidRDefault="002A380B">
      <w:pPr>
        <w:pStyle w:val="ConsPlusNormal"/>
        <w:jc w:val="right"/>
      </w:pPr>
      <w:r>
        <w:t>Правительства Ульяновской области</w:t>
      </w:r>
    </w:p>
    <w:p w:rsidR="002A380B" w:rsidRDefault="002A380B">
      <w:pPr>
        <w:pStyle w:val="ConsPlusNormal"/>
        <w:jc w:val="right"/>
      </w:pPr>
      <w:r>
        <w:t>В.Н.РАЗУМКОВ</w:t>
      </w:r>
    </w:p>
    <w:p w:rsidR="002A380B" w:rsidRDefault="002A380B">
      <w:pPr>
        <w:pStyle w:val="ConsPlusNormal"/>
        <w:jc w:val="both"/>
      </w:pPr>
    </w:p>
    <w:p w:rsidR="002A380B" w:rsidRDefault="002A380B">
      <w:pPr>
        <w:pStyle w:val="ConsPlusNormal"/>
        <w:jc w:val="both"/>
      </w:pPr>
    </w:p>
    <w:p w:rsidR="002A380B" w:rsidRDefault="002A380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1107" w:rsidRDefault="00F31107">
      <w:bookmarkStart w:id="0" w:name="_GoBack"/>
      <w:bookmarkEnd w:id="0"/>
    </w:p>
    <w:sectPr w:rsidR="00F31107" w:rsidSect="00FA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0B"/>
    <w:rsid w:val="002A380B"/>
    <w:rsid w:val="00F3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38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A380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A380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CFE177122FBE825A120436D7158C6D6A180FDCE2D5A547C28D3991058D1B8C45F79D27673EB1312682B3C101F36649DCED7C586532E06BF1CD86J82EG" TargetMode="External"/><Relationship Id="rId13" Type="http://schemas.openxmlformats.org/officeDocument/2006/relationships/hyperlink" Target="consultantplus://offline/ref=B2CFE177122FBE825A120436D7158C6D6A180FDCE2D5A547C28D3991058D1B8C45F79D27673EB1312681B0C001F36649DCED7C586532E06BF1CD86J82EG" TargetMode="External"/><Relationship Id="rId18" Type="http://schemas.openxmlformats.org/officeDocument/2006/relationships/hyperlink" Target="consultantplus://offline/ref=B2CFE177122FBE825A120436D7158C6D6A180FDCE2D5A547C28D3991058D1B8C45F79D27673EB1312682B8C401F36649DCED7C586532E06BF1CD86J82E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2CFE177122FBE825A120436D7158C6D6A180FDCE2D5A547C28D3991058D1B8C45F79D27673EB1312683B0C101F36649DCED7C586532E06BF1CD86J82EG" TargetMode="External"/><Relationship Id="rId7" Type="http://schemas.openxmlformats.org/officeDocument/2006/relationships/hyperlink" Target="consultantplus://offline/ref=B2CFE177122FBE825A120436D7158C6D6A180FDCE2D5A547C28D3991058D1B8C45F79D27673EB1312682B3C101F36649DCED7C586532E06BF1CD86J82EG" TargetMode="External"/><Relationship Id="rId12" Type="http://schemas.openxmlformats.org/officeDocument/2006/relationships/hyperlink" Target="consultantplus://offline/ref=B2CFE177122FBE825A120436D7158C6D6A180FDCE2D5A547C28D3991058D1B8C45F79D27673EB1312681B0C201F36649DCED7C586532E06BF1CD86J82EG" TargetMode="External"/><Relationship Id="rId17" Type="http://schemas.openxmlformats.org/officeDocument/2006/relationships/hyperlink" Target="consultantplus://offline/ref=B2CFE177122FBE825A120436D7158C6D6A180FDCE2D5A547C28D3991058D1B8C45F79D27673EB1312681B1C401F36649DCED7C586532E06BF1CD86J82EG" TargetMode="External"/><Relationship Id="rId25" Type="http://schemas.openxmlformats.org/officeDocument/2006/relationships/hyperlink" Target="consultantplus://offline/ref=B2CFE177122FBE825A120436D7158C6D6A180FDCE2D5A547C28D3991058D1B8C45F79D27673EB1312683B2C001F36649DCED7C586532E06BF1CD86J82E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2CFE177122FBE825A120436D7158C6D6A180FDCE2D5A547C28D3991058D1B8C45F79D27673EB1312681B1C301F36649DCED7C586532E06BF1CD86J82EG" TargetMode="External"/><Relationship Id="rId20" Type="http://schemas.openxmlformats.org/officeDocument/2006/relationships/hyperlink" Target="consultantplus://offline/ref=B2CFE177122FBE825A120436D7158C6D6A180FDCE2D5A547C28D3991058D1B8C45F79D27673EB1312682B8C001F36649DCED7C586532E06BF1CD86J82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CFE177122FBE825A120436D7158C6D6A180FDCE2D5A547C28D3991058D1B8C45F79D27673EB1312682B0C501F36649DCED7C586532E06BF1CD86J82EG" TargetMode="External"/><Relationship Id="rId11" Type="http://schemas.openxmlformats.org/officeDocument/2006/relationships/hyperlink" Target="consultantplus://offline/ref=B2CFE177122FBE825A120436D7158C6D6A180FDCE2D5A547C28D3991058D1B8C45F79D27673EB1312681B0C201F36649DCED7C586532E06BF1CD86J82EG" TargetMode="External"/><Relationship Id="rId24" Type="http://schemas.openxmlformats.org/officeDocument/2006/relationships/hyperlink" Target="consultantplus://offline/ref=B2CFE177122FBE825A120436D7158C6D6A180FDCE2D5A547C28D3991058D1B8C45F79D27673EB1312683B2C301F36649DCED7C586532E06BF1CD86J82EG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B2CFE177122FBE825A120436D7158C6D6A180FDCE2D5A547C28D3991058D1B8C45F79D27673EB1312681B1C401F36649DCED7C586532E06BF1CD86J82EG" TargetMode="External"/><Relationship Id="rId23" Type="http://schemas.openxmlformats.org/officeDocument/2006/relationships/hyperlink" Target="consultantplus://offline/ref=B2CFE177122FBE825A120436D7158C6D6A180FDCE2D5A547C28D3991058D1B8C45F79D27673EB1312683B2C201F36649DCED7C586532E06BF1CD86J82EG" TargetMode="External"/><Relationship Id="rId10" Type="http://schemas.openxmlformats.org/officeDocument/2006/relationships/hyperlink" Target="consultantplus://offline/ref=B2CFE177122FBE825A120436D7158C6D6A180FDCE2D5A547C28D3991058D1B8C45F79D27673EB1312682B2C601F36649DCED7C586532E06BF1CD86J82EG" TargetMode="External"/><Relationship Id="rId19" Type="http://schemas.openxmlformats.org/officeDocument/2006/relationships/hyperlink" Target="consultantplus://offline/ref=B2CFE177122FBE825A120436D7158C6D6A180FDCE2D5A547C28D3991058D1B8C45F79D27673EB1312682B8C401F36649DCED7C586532E06BF1CD86J82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CFE177122FBE825A120436D7158C6D6A180FDCE2D5A547C28D3991058D1B8C45F79D27673EB1312682B3CE01F36649DCED7C586532E06BF1CD86J82EG" TargetMode="External"/><Relationship Id="rId14" Type="http://schemas.openxmlformats.org/officeDocument/2006/relationships/hyperlink" Target="consultantplus://offline/ref=B2CFE177122FBE825A120436D7158C6D6A180FDCE2D5A547C28D3991058D1B8C45F79D27673EB1312681B0CF01F36649DCED7C586532E06BF1CD86J82EG" TargetMode="External"/><Relationship Id="rId22" Type="http://schemas.openxmlformats.org/officeDocument/2006/relationships/hyperlink" Target="consultantplus://offline/ref=B2CFE177122FBE825A120436D7158C6D6A180FDCE2D5A547C28D3991058D1B8C45F79D27673EB1312683B2C201F36649DCED7C586532E06BF1CD86J82E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1054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Panova ON</dc:creator>
  <cp:lastModifiedBy>Panova ON</cp:lastModifiedBy>
  <cp:revision>1</cp:revision>
  <dcterms:created xsi:type="dcterms:W3CDTF">2024-02-05T06:54:00Z</dcterms:created>
  <dcterms:modified xsi:type="dcterms:W3CDTF">2024-02-05T06:54:00Z</dcterms:modified>
</cp:coreProperties>
</file>